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2B76" w:rsidTr="00712B76">
        <w:tc>
          <w:tcPr>
            <w:tcW w:w="10456" w:type="dxa"/>
            <w:tcBorders>
              <w:top w:val="single" w:sz="4" w:space="0" w:color="F36B45"/>
              <w:left w:val="single" w:sz="4" w:space="0" w:color="F36B45"/>
              <w:bottom w:val="single" w:sz="4" w:space="0" w:color="F36B45"/>
              <w:right w:val="single" w:sz="4" w:space="0" w:color="F36B45"/>
            </w:tcBorders>
            <w:shd w:val="clear" w:color="auto" w:fill="F36B45"/>
          </w:tcPr>
          <w:p w:rsidR="009B057D" w:rsidRDefault="009B057D">
            <w:pPr>
              <w:rPr>
                <w:rFonts w:cs="Stag-Medium"/>
                <w:b/>
                <w:color w:val="FFFFFF"/>
                <w:sz w:val="43"/>
                <w:szCs w:val="43"/>
              </w:rPr>
            </w:pPr>
            <w:r>
              <w:rPr>
                <w:rFonts w:cs="Stag-Medium"/>
                <w:b/>
                <w:color w:val="FFFFFF"/>
                <w:sz w:val="43"/>
                <w:szCs w:val="43"/>
              </w:rPr>
              <w:t>ANEXO 7</w:t>
            </w:r>
          </w:p>
          <w:p w:rsidR="00712B76" w:rsidRPr="00712B76" w:rsidRDefault="00712B76">
            <w:pPr>
              <w:rPr>
                <w:b/>
              </w:rPr>
            </w:pPr>
            <w:r w:rsidRPr="00712B76">
              <w:rPr>
                <w:rFonts w:cs="Stag-Medium"/>
                <w:b/>
                <w:color w:val="FFFFFF"/>
                <w:sz w:val="43"/>
                <w:szCs w:val="43"/>
              </w:rPr>
              <w:t>Acta de calificación final</w:t>
            </w:r>
          </w:p>
        </w:tc>
      </w:tr>
    </w:tbl>
    <w:p w:rsidR="00CC0DDE" w:rsidRDefault="00CC0DDE" w:rsidP="009B057D">
      <w:pPr>
        <w:spacing w:after="0"/>
      </w:pPr>
    </w:p>
    <w:p w:rsidR="00712B76" w:rsidRPr="009B057D" w:rsidRDefault="00712B76" w:rsidP="00712B76">
      <w:pPr>
        <w:pStyle w:val="Prrafodelista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9B057D">
        <w:rPr>
          <w:rFonts w:cs="Stag-Medium"/>
          <w:b/>
          <w:sz w:val="28"/>
          <w:szCs w:val="28"/>
        </w:rPr>
        <w:t>De la entidad:</w:t>
      </w:r>
    </w:p>
    <w:tbl>
      <w:tblPr>
        <w:tblStyle w:val="Tablaconcuadrcula"/>
        <w:tblW w:w="1046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9348"/>
      </w:tblGrid>
      <w:tr w:rsidR="00712B76" w:rsidRPr="00AD6077" w:rsidTr="0025682F">
        <w:trPr>
          <w:trHeight w:val="409"/>
        </w:trPr>
        <w:tc>
          <w:tcPr>
            <w:tcW w:w="1113" w:type="dxa"/>
            <w:tcBorders>
              <w:right w:val="single" w:sz="4" w:space="0" w:color="7F7F7F" w:themeColor="text1" w:themeTint="80"/>
            </w:tcBorders>
            <w:vAlign w:val="center"/>
          </w:tcPr>
          <w:p w:rsidR="00712B76" w:rsidRPr="00AD6077" w:rsidRDefault="00712B76" w:rsidP="0025682F">
            <w:pPr>
              <w:rPr>
                <w:sz w:val="20"/>
              </w:rPr>
            </w:pPr>
            <w:r w:rsidRPr="00AD6077">
              <w:rPr>
                <w:rFonts w:ascii="Calibri" w:hAnsi="Calibri" w:cs="Calibri"/>
                <w:sz w:val="20"/>
              </w:rPr>
              <w:t>GORE:</w:t>
            </w:r>
          </w:p>
        </w:tc>
        <w:tc>
          <w:tcPr>
            <w:tcW w:w="93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</w:tr>
      <w:tr w:rsidR="00712B76" w:rsidRPr="00AD6077" w:rsidTr="0025682F">
        <w:trPr>
          <w:trHeight w:val="122"/>
        </w:trPr>
        <w:tc>
          <w:tcPr>
            <w:tcW w:w="1113" w:type="dxa"/>
          </w:tcPr>
          <w:p w:rsidR="00712B76" w:rsidRPr="00AD6077" w:rsidRDefault="00712B76" w:rsidP="0025682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3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</w:tr>
      <w:tr w:rsidR="00712B76" w:rsidRPr="00AD6077" w:rsidTr="0025682F">
        <w:trPr>
          <w:trHeight w:val="409"/>
        </w:trPr>
        <w:tc>
          <w:tcPr>
            <w:tcW w:w="1113" w:type="dxa"/>
            <w:tcBorders>
              <w:right w:val="single" w:sz="4" w:space="0" w:color="7F7F7F" w:themeColor="text1" w:themeTint="80"/>
            </w:tcBorders>
            <w:vAlign w:val="center"/>
          </w:tcPr>
          <w:p w:rsidR="00712B76" w:rsidRPr="00AD6077" w:rsidRDefault="00712B76" w:rsidP="0025682F">
            <w:pPr>
              <w:rPr>
                <w:sz w:val="20"/>
              </w:rPr>
            </w:pPr>
            <w:r w:rsidRPr="00AD6077">
              <w:rPr>
                <w:rFonts w:ascii="Calibri" w:hAnsi="Calibri" w:cs="Calibri"/>
                <w:sz w:val="20"/>
              </w:rPr>
              <w:t>UGEL/DRE:</w:t>
            </w:r>
          </w:p>
        </w:tc>
        <w:tc>
          <w:tcPr>
            <w:tcW w:w="93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</w:tr>
    </w:tbl>
    <w:p w:rsidR="00712B76" w:rsidRDefault="00712B76" w:rsidP="009B057D">
      <w:pPr>
        <w:spacing w:after="0"/>
        <w:rPr>
          <w:sz w:val="20"/>
        </w:rPr>
      </w:pPr>
    </w:p>
    <w:p w:rsidR="00712B76" w:rsidRPr="009B057D" w:rsidRDefault="00712B76" w:rsidP="00712B76">
      <w:pPr>
        <w:pStyle w:val="Prrafodelista"/>
        <w:numPr>
          <w:ilvl w:val="0"/>
          <w:numId w:val="2"/>
        </w:numPr>
        <w:ind w:left="284" w:hanging="284"/>
        <w:rPr>
          <w:rFonts w:cs="Stag-Medium"/>
          <w:b/>
          <w:sz w:val="28"/>
          <w:szCs w:val="32"/>
        </w:rPr>
      </w:pPr>
      <w:r w:rsidRPr="009B057D">
        <w:rPr>
          <w:rFonts w:cs="Stag-Medium"/>
          <w:b/>
          <w:sz w:val="28"/>
          <w:szCs w:val="32"/>
        </w:rPr>
        <w:t>Del evaluado:</w:t>
      </w:r>
    </w:p>
    <w:tbl>
      <w:tblPr>
        <w:tblStyle w:val="Tablaconcuadrcula"/>
        <w:tblW w:w="104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992"/>
        <w:gridCol w:w="284"/>
        <w:gridCol w:w="850"/>
        <w:gridCol w:w="284"/>
        <w:gridCol w:w="1984"/>
        <w:gridCol w:w="709"/>
        <w:gridCol w:w="282"/>
        <w:gridCol w:w="282"/>
        <w:gridCol w:w="282"/>
        <w:gridCol w:w="283"/>
        <w:gridCol w:w="282"/>
        <w:gridCol w:w="282"/>
        <w:gridCol w:w="282"/>
        <w:gridCol w:w="283"/>
      </w:tblGrid>
      <w:tr w:rsidR="00712B76" w:rsidRPr="00AD6077" w:rsidTr="0025682F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12B76" w:rsidRPr="00AD6077" w:rsidRDefault="00712B76" w:rsidP="009B057D">
            <w:pPr>
              <w:rPr>
                <w:sz w:val="20"/>
              </w:rPr>
            </w:pPr>
            <w:r w:rsidRPr="00AD6077">
              <w:rPr>
                <w:rFonts w:ascii="Calibri" w:hAnsi="Calibri" w:cs="Calibri"/>
                <w:sz w:val="20"/>
              </w:rPr>
              <w:t xml:space="preserve">Cargo: (Seleccione con una </w:t>
            </w:r>
            <w:r w:rsidR="009B057D">
              <w:rPr>
                <w:rFonts w:ascii="Calibri" w:hAnsi="Calibri" w:cs="Calibri"/>
                <w:sz w:val="20"/>
              </w:rPr>
              <w:t>X</w:t>
            </w:r>
            <w:r w:rsidRPr="00AD6077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  <w:r w:rsidRPr="00AD6077">
              <w:rPr>
                <w:sz w:val="20"/>
              </w:rPr>
              <w:t>DUGEL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  <w:r w:rsidRPr="00AD6077">
              <w:rPr>
                <w:sz w:val="20"/>
              </w:rPr>
              <w:t>JAGP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  <w:r w:rsidRPr="00AD6077">
              <w:rPr>
                <w:sz w:val="20"/>
              </w:rPr>
              <w:t>DDGP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  <w:r w:rsidRPr="00AD6077">
              <w:rPr>
                <w:sz w:val="20"/>
              </w:rPr>
              <w:t>DNI:</w:t>
            </w: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</w:tr>
    </w:tbl>
    <w:p w:rsidR="00712B76" w:rsidRDefault="00712B76" w:rsidP="00712B76">
      <w:pPr>
        <w:rPr>
          <w:sz w:val="20"/>
        </w:rPr>
      </w:pPr>
    </w:p>
    <w:tbl>
      <w:tblPr>
        <w:tblStyle w:val="Tablaconcuadrcula"/>
        <w:tblW w:w="1046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76"/>
      </w:tblGrid>
      <w:tr w:rsidR="00712B76" w:rsidRPr="00AD6077" w:rsidTr="0025682F">
        <w:trPr>
          <w:trHeight w:val="409"/>
        </w:trPr>
        <w:tc>
          <w:tcPr>
            <w:tcW w:w="1985" w:type="dxa"/>
            <w:tcBorders>
              <w:right w:val="single" w:sz="4" w:space="0" w:color="7F7F7F" w:themeColor="text1" w:themeTint="80"/>
            </w:tcBorders>
            <w:vAlign w:val="center"/>
          </w:tcPr>
          <w:p w:rsidR="00712B76" w:rsidRPr="00AD6077" w:rsidRDefault="00712B76" w:rsidP="0025682F">
            <w:pPr>
              <w:rPr>
                <w:sz w:val="20"/>
              </w:rPr>
            </w:pPr>
            <w:r w:rsidRPr="00AD6077">
              <w:rPr>
                <w:rFonts w:ascii="Calibri" w:hAnsi="Calibri" w:cs="Calibri"/>
                <w:sz w:val="20"/>
              </w:rPr>
              <w:t>Apellidos y Nombres:</w:t>
            </w:r>
          </w:p>
        </w:tc>
        <w:tc>
          <w:tcPr>
            <w:tcW w:w="8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2B76" w:rsidRPr="00AD6077" w:rsidRDefault="00712B76" w:rsidP="0025682F">
            <w:pPr>
              <w:rPr>
                <w:sz w:val="20"/>
              </w:rPr>
            </w:pPr>
          </w:p>
        </w:tc>
      </w:tr>
    </w:tbl>
    <w:p w:rsidR="00712B76" w:rsidRDefault="00712B76" w:rsidP="00712B76">
      <w:pPr>
        <w:rPr>
          <w:sz w:val="20"/>
        </w:rPr>
      </w:pPr>
    </w:p>
    <w:p w:rsidR="00712B76" w:rsidRPr="00AD6077" w:rsidRDefault="00712B76" w:rsidP="00712B76">
      <w:pPr>
        <w:pStyle w:val="Prrafodelista"/>
        <w:numPr>
          <w:ilvl w:val="0"/>
          <w:numId w:val="2"/>
        </w:numPr>
        <w:ind w:left="284" w:hanging="284"/>
        <w:rPr>
          <w:color w:val="F36B45"/>
          <w:sz w:val="24"/>
          <w:szCs w:val="28"/>
        </w:rPr>
      </w:pPr>
      <w:r w:rsidRPr="00AD6077">
        <w:rPr>
          <w:rFonts w:cs="Stag-Book"/>
          <w:color w:val="F36B45"/>
          <w:sz w:val="28"/>
          <w:szCs w:val="32"/>
        </w:rPr>
        <w:t>Orientación a resultados</w:t>
      </w: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 w:rsidRPr="00712B76">
        <w:rPr>
          <w:rFonts w:cs="Stag-Book"/>
          <w:sz w:val="24"/>
          <w:szCs w:val="25"/>
        </w:rPr>
        <w:t xml:space="preserve">Proceso crítico 1: </w:t>
      </w:r>
      <w:r w:rsidRPr="00712B76">
        <w:rPr>
          <w:rFonts w:cs="Stag-Book"/>
          <w:color w:val="F36B45"/>
          <w:sz w:val="24"/>
          <w:szCs w:val="25"/>
        </w:rPr>
        <w:t>Mejora de los logros de aprendizajes en su jurisdicción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712B76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712B76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712B76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712B76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712B76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712B76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712B76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712B76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Implementa medidas correctivas o propone acciones de mejora durante el desarrollo del Plan de Acción para asegurar estándares de calidad.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712B76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 w:rsidRPr="00712B76">
        <w:rPr>
          <w:rFonts w:cs="Stag-Book"/>
          <w:sz w:val="24"/>
          <w:szCs w:val="25"/>
        </w:rPr>
        <w:t xml:space="preserve">Proceso crítico </w:t>
      </w:r>
      <w:r>
        <w:rPr>
          <w:rFonts w:cs="Stag-Book"/>
          <w:sz w:val="24"/>
          <w:szCs w:val="25"/>
        </w:rPr>
        <w:t>2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 la provisión de personal en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Implementa medidas correctivas o propone acciones de mejora durante el desarrollo del Plan de Acción para asegurar estándares de calidad.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>
        <w:rPr>
          <w:rFonts w:cs="Stag-Book"/>
          <w:sz w:val="24"/>
          <w:szCs w:val="25"/>
        </w:rPr>
        <w:t>Proceso crítico 3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 la provisión de materiales educativos en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Implementa medidas correctivas o propone acciones de mejora durante el desarrollo del Plan de Acción para asegurar estándares de calidad.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>
        <w:rPr>
          <w:rFonts w:cs="Stag-Book"/>
          <w:sz w:val="24"/>
          <w:szCs w:val="25"/>
        </w:rPr>
        <w:t>Proceso crítico 4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del oportuno mantenimiento de locales de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Propone planes de acción que viabilicen el logro de los objetivos, cumpliendo con los estándares de calidad establecidos.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Implementa medidas correctivas o propone acciones de mejora durante el desarrollo del Plan de Acción para asegurar estándares de calidad.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Administra los recursos necesarios para cumplir sus metas y objetivos, controlando y racionalizando el uso de los mismos con transparencia.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color w:val="F36B45"/>
          <w:sz w:val="20"/>
        </w:rPr>
      </w:pPr>
    </w:p>
    <w:p w:rsidR="00712B76" w:rsidRPr="00AD6077" w:rsidRDefault="00712B76" w:rsidP="00712B76">
      <w:pPr>
        <w:pStyle w:val="Prrafodelista"/>
        <w:numPr>
          <w:ilvl w:val="0"/>
          <w:numId w:val="2"/>
        </w:numPr>
        <w:ind w:left="284" w:hanging="284"/>
        <w:rPr>
          <w:color w:val="F36B45"/>
          <w:sz w:val="24"/>
          <w:szCs w:val="28"/>
        </w:rPr>
      </w:pPr>
      <w:r>
        <w:rPr>
          <w:rFonts w:cs="Stag-Book"/>
          <w:color w:val="F36B45"/>
          <w:sz w:val="28"/>
          <w:szCs w:val="32"/>
        </w:rPr>
        <w:t>Vocación de servicio</w:t>
      </w: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 w:rsidRPr="00712B76">
        <w:rPr>
          <w:rFonts w:cs="Stag-Book"/>
          <w:sz w:val="24"/>
          <w:szCs w:val="25"/>
        </w:rPr>
        <w:t xml:space="preserve">Proceso crítico 1: </w:t>
      </w:r>
      <w:r w:rsidRPr="00712B76">
        <w:rPr>
          <w:rFonts w:cs="Stag-Book"/>
          <w:color w:val="F36B45"/>
          <w:sz w:val="24"/>
          <w:szCs w:val="25"/>
        </w:rPr>
        <w:t>Mejora de los logros de aprendizajes en su jurisdicción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Muestra compromiso y responsabilidad adaptando su accionar a las necesidades del usuario.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Evalúa las diferentes alternativas existentes para facilitar una respuesta integral y sustentada.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 xml:space="preserve">Está atento y escucha activamente al usuario ofreciendo ayuda, apoyo u orientación con amabilidad y respeto, aun cuando no sea su </w:t>
            </w:r>
            <w:r w:rsidRPr="00712B76">
              <w:rPr>
                <w:rFonts w:ascii="Calibri" w:hAnsi="Calibri" w:cs="Calibri"/>
                <w:sz w:val="20"/>
              </w:rPr>
              <w:lastRenderedPageBreak/>
              <w:t>competencia directa o no se lo soliciten.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 w:rsidRPr="00712B76">
        <w:rPr>
          <w:rFonts w:cs="Stag-Book"/>
          <w:sz w:val="24"/>
          <w:szCs w:val="25"/>
        </w:rPr>
        <w:t xml:space="preserve">Proceso crítico </w:t>
      </w:r>
      <w:r>
        <w:rPr>
          <w:rFonts w:cs="Stag-Book"/>
          <w:sz w:val="24"/>
          <w:szCs w:val="25"/>
        </w:rPr>
        <w:t>2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 la provisión de personal en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Muestra compromiso y responsabilidad adaptando su accionar a las necesidades del usuario.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Evalúa las diferentes alternativas existentes para facilitar una respuesta integral y sustentada.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Está atento y escucha activamente al usuario ofreciendo ayuda, apoyo u orientación con amabilidad y respeto, aun cuando no sea su competencia directa o no se lo soliciten.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>
        <w:rPr>
          <w:rFonts w:cs="Stag-Book"/>
          <w:sz w:val="24"/>
          <w:szCs w:val="25"/>
        </w:rPr>
        <w:t>Proceso crítico 3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 la provisión de materiales educativos en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Muestra compromiso y responsabilidad adaptando su accionar a las necesidades del usuario.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Evalúa las diferentes alternativas existentes para facilitar una respuesta integral y sustentada.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Está atento y escucha activamente al usuario ofreciendo ayuda, apoyo u orientación con amabilidad y respeto, aun cuando no sea su competencia directa o no se lo soliciten.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>
        <w:rPr>
          <w:rFonts w:cs="Stag-Book"/>
          <w:sz w:val="24"/>
          <w:szCs w:val="25"/>
        </w:rPr>
        <w:t>Proceso crítico 4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del oportuno mantenimiento de locales de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Muestra compromiso y responsabilidad adaptando su accionar a las necesidades del usuario.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Evalúa las diferentes alternativas existentes para facilitar una respuesta integral y sustentada.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Está atento y escucha activamente al usuario ofreciendo ayuda, apoyo u orientación con amabilidad y respeto, aun cuando no sea su competencia directa o no se lo soliciten.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color w:val="F36B45"/>
          <w:sz w:val="20"/>
        </w:rPr>
      </w:pPr>
    </w:p>
    <w:p w:rsidR="00712B76" w:rsidRPr="00AD6077" w:rsidRDefault="00712B76" w:rsidP="00712B76">
      <w:pPr>
        <w:pStyle w:val="Prrafodelista"/>
        <w:numPr>
          <w:ilvl w:val="0"/>
          <w:numId w:val="2"/>
        </w:numPr>
        <w:ind w:left="284" w:hanging="284"/>
        <w:rPr>
          <w:color w:val="F36B45"/>
          <w:sz w:val="24"/>
          <w:szCs w:val="28"/>
        </w:rPr>
      </w:pPr>
      <w:r>
        <w:rPr>
          <w:rFonts w:cs="Stag-Book"/>
          <w:color w:val="F36B45"/>
          <w:sz w:val="28"/>
          <w:szCs w:val="32"/>
        </w:rPr>
        <w:t>Trabajo en equipo</w:t>
      </w: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 w:rsidRPr="00712B76">
        <w:rPr>
          <w:rFonts w:cs="Stag-Book"/>
          <w:sz w:val="24"/>
          <w:szCs w:val="25"/>
        </w:rPr>
        <w:t xml:space="preserve">Proceso crítico 1: </w:t>
      </w:r>
      <w:r w:rsidRPr="00712B76">
        <w:rPr>
          <w:rFonts w:cs="Stag-Book"/>
          <w:color w:val="F36B45"/>
          <w:sz w:val="24"/>
          <w:szCs w:val="25"/>
        </w:rPr>
        <w:t>Mejora de los logros de aprendizajes en su jurisdicción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Comparte experiencias y mejores prácticas con los demás miembros del equipo, con el fin de lograr los procesos críticos organizacionales.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25682F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 w:rsidRPr="00712B76">
        <w:rPr>
          <w:rFonts w:cs="Stag-Book"/>
          <w:sz w:val="24"/>
          <w:szCs w:val="25"/>
        </w:rPr>
        <w:t xml:space="preserve">Proceso crítico </w:t>
      </w:r>
      <w:r>
        <w:rPr>
          <w:rFonts w:cs="Stag-Book"/>
          <w:sz w:val="24"/>
          <w:szCs w:val="25"/>
        </w:rPr>
        <w:t>2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 la provisión de personal en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Comparte experiencias y mejores prácticas con los demás miembros del equipo, con el fin de lograr los procesos críticos organizacionales.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>
        <w:rPr>
          <w:rFonts w:cs="Stag-Book"/>
          <w:sz w:val="24"/>
          <w:szCs w:val="25"/>
        </w:rPr>
        <w:t>Proceso crítico 3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 la provisión de materiales educativos en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Comparte experiencias y mejores prácticas con los demás miembros del equipo, con el fin de lograr los procesos críticos organizacionales.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color w:val="F36B45"/>
          <w:sz w:val="20"/>
        </w:rPr>
      </w:pPr>
    </w:p>
    <w:p w:rsidR="00712B76" w:rsidRDefault="00712B76" w:rsidP="00712B76">
      <w:pPr>
        <w:ind w:left="284"/>
        <w:rPr>
          <w:rFonts w:cs="Stag-Book"/>
          <w:color w:val="F36B45"/>
          <w:sz w:val="24"/>
          <w:szCs w:val="25"/>
        </w:rPr>
      </w:pPr>
      <w:r>
        <w:rPr>
          <w:rFonts w:cs="Stag-Book"/>
          <w:sz w:val="24"/>
          <w:szCs w:val="25"/>
        </w:rPr>
        <w:t>Proceso crítico 4</w:t>
      </w:r>
      <w:r w:rsidRPr="00712B76">
        <w:rPr>
          <w:rFonts w:cs="Stag-Book"/>
          <w:sz w:val="24"/>
          <w:szCs w:val="25"/>
        </w:rPr>
        <w:t xml:space="preserve">: </w:t>
      </w:r>
      <w:r w:rsidRPr="00712B76">
        <w:rPr>
          <w:rFonts w:cs="Stag-Book"/>
          <w:color w:val="F36B45"/>
          <w:sz w:val="24"/>
          <w:szCs w:val="25"/>
        </w:rPr>
        <w:t>Aseguramiento del oportuno mantenimiento de locales de las IIEE</w:t>
      </w:r>
    </w:p>
    <w:tbl>
      <w:tblPr>
        <w:tblStyle w:val="Tablaconcuadrcula"/>
        <w:tblW w:w="0" w:type="auto"/>
        <w:tblInd w:w="284" w:type="dxa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3200"/>
        <w:gridCol w:w="1743"/>
        <w:gridCol w:w="1743"/>
        <w:gridCol w:w="1743"/>
        <w:gridCol w:w="1743"/>
      </w:tblGrid>
      <w:tr w:rsidR="00712B76" w:rsidTr="0025682F">
        <w:tc>
          <w:tcPr>
            <w:tcW w:w="3200" w:type="dxa"/>
            <w:tcBorders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Indicador conductual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Fecha de entrega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Actores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involucrados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Finalidad</w:t>
            </w:r>
          </w:p>
        </w:tc>
        <w:tc>
          <w:tcPr>
            <w:tcW w:w="1743" w:type="dxa"/>
            <w:tcBorders>
              <w:left w:val="single" w:sz="4" w:space="0" w:color="FFFFFF" w:themeColor="background1"/>
            </w:tcBorders>
            <w:shd w:val="clear" w:color="auto" w:fill="F36B45"/>
            <w:vAlign w:val="center"/>
          </w:tcPr>
          <w:p w:rsidR="00712B76" w:rsidRPr="00712B76" w:rsidRDefault="00712B76" w:rsidP="0025682F">
            <w:pPr>
              <w:autoSpaceDE w:val="0"/>
              <w:autoSpaceDN w:val="0"/>
              <w:adjustRightInd w:val="0"/>
              <w:jc w:val="center"/>
              <w:rPr>
                <w:rFonts w:cs="Stag-Medium"/>
                <w:b/>
                <w:color w:val="FFFFFF"/>
                <w:sz w:val="20"/>
                <w:szCs w:val="21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Medios de</w:t>
            </w:r>
          </w:p>
          <w:p w:rsidR="00712B76" w:rsidRPr="00712B76" w:rsidRDefault="00712B76" w:rsidP="0025682F">
            <w:pPr>
              <w:jc w:val="center"/>
              <w:rPr>
                <w:b/>
                <w:color w:val="F36B45"/>
                <w:sz w:val="20"/>
              </w:rPr>
            </w:pPr>
            <w:r w:rsidRPr="00712B76">
              <w:rPr>
                <w:rFonts w:cs="Stag-Medium"/>
                <w:b/>
                <w:color w:val="FFFFFF"/>
                <w:sz w:val="20"/>
                <w:szCs w:val="21"/>
              </w:rPr>
              <w:t>verificación</w:t>
            </w: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Participa de forma activa en las tareas de equipo manifestando su disposición a colaborar para el logro de los objetivos.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Comparte experiencias y mejores prácticas con los demás miembros del equipo, con el fin de lograr los procesos críticos organizacionales.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  <w:tr w:rsidR="00712B76" w:rsidTr="0025682F">
        <w:tc>
          <w:tcPr>
            <w:tcW w:w="3200" w:type="dxa"/>
          </w:tcPr>
          <w:p w:rsidR="00712B76" w:rsidRPr="00712B76" w:rsidRDefault="00712B76" w:rsidP="00712B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B76">
              <w:rPr>
                <w:rFonts w:ascii="Calibri" w:hAnsi="Calibri" w:cs="Calibri"/>
                <w:sz w:val="20"/>
              </w:rPr>
              <w:t>Establece adecuadas relaciones interpersonales, mostrándose abierto y receptivo frente a los demás miembros del equipo.</w:t>
            </w: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  <w:tc>
          <w:tcPr>
            <w:tcW w:w="1743" w:type="dxa"/>
          </w:tcPr>
          <w:p w:rsidR="00712B76" w:rsidRDefault="00712B76" w:rsidP="00712B76">
            <w:pPr>
              <w:rPr>
                <w:color w:val="F36B45"/>
                <w:sz w:val="20"/>
              </w:rPr>
            </w:pPr>
          </w:p>
        </w:tc>
      </w:tr>
    </w:tbl>
    <w:p w:rsidR="00712B76" w:rsidRDefault="00712B76" w:rsidP="00712B76">
      <w:pPr>
        <w:ind w:left="284"/>
        <w:rPr>
          <w:color w:val="F36B45"/>
          <w:sz w:val="20"/>
        </w:rPr>
      </w:pPr>
    </w:p>
    <w:p w:rsidR="009B057D" w:rsidRPr="009B057D" w:rsidRDefault="009B057D" w:rsidP="009B057D">
      <w:pPr>
        <w:pStyle w:val="Prrafodelista"/>
        <w:numPr>
          <w:ilvl w:val="0"/>
          <w:numId w:val="2"/>
        </w:numPr>
        <w:ind w:left="284" w:hanging="284"/>
        <w:rPr>
          <w:b/>
          <w:sz w:val="24"/>
          <w:szCs w:val="28"/>
        </w:rPr>
      </w:pPr>
      <w:r w:rsidRPr="009B057D">
        <w:rPr>
          <w:rFonts w:cs="Stag-Medium"/>
          <w:b/>
          <w:sz w:val="28"/>
          <w:szCs w:val="32"/>
        </w:rPr>
        <w:t>Firmas de los integrantes del Comité de Evaluación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12"/>
        <w:gridCol w:w="3486"/>
      </w:tblGrid>
      <w:tr w:rsidR="009B057D" w:rsidRPr="00633E01" w:rsidTr="00581586">
        <w:tc>
          <w:tcPr>
            <w:tcW w:w="6658" w:type="dxa"/>
            <w:tcBorders>
              <w:bottom w:val="single" w:sz="4" w:space="0" w:color="7F7F7F" w:themeColor="text1" w:themeTint="80"/>
            </w:tcBorders>
            <w:vAlign w:val="bottom"/>
          </w:tcPr>
          <w:p w:rsidR="009B057D" w:rsidRPr="009B057D" w:rsidRDefault="009B057D" w:rsidP="009B057D">
            <w:pPr>
              <w:rPr>
                <w:rFonts w:cs="Stag-Book"/>
                <w:sz w:val="20"/>
                <w:szCs w:val="20"/>
              </w:rPr>
            </w:pPr>
            <w:r w:rsidRPr="009B057D">
              <w:rPr>
                <w:rFonts w:cs="Calibri"/>
                <w:sz w:val="20"/>
                <w:szCs w:val="20"/>
              </w:rPr>
              <w:t>Nombre Completo/Cargo:</w:t>
            </w:r>
          </w:p>
        </w:tc>
        <w:tc>
          <w:tcPr>
            <w:tcW w:w="312" w:type="dxa"/>
            <w:vAlign w:val="bottom"/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bottom w:val="single" w:sz="4" w:space="0" w:color="7F7F7F" w:themeColor="text1" w:themeTint="80"/>
            </w:tcBorders>
            <w:vAlign w:val="bottom"/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Firma:</w:t>
            </w:r>
          </w:p>
        </w:tc>
      </w:tr>
      <w:tr w:rsidR="009B057D" w:rsidRPr="00633E01" w:rsidTr="00581586">
        <w:trPr>
          <w:trHeight w:val="753"/>
        </w:trPr>
        <w:tc>
          <w:tcPr>
            <w:tcW w:w="6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</w:tr>
      <w:tr w:rsidR="009B057D" w:rsidRPr="00633E01" w:rsidTr="00581586">
        <w:trPr>
          <w:trHeight w:val="460"/>
        </w:trPr>
        <w:tc>
          <w:tcPr>
            <w:tcW w:w="66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Nombre Completo/Cargo:</w:t>
            </w:r>
          </w:p>
        </w:tc>
        <w:tc>
          <w:tcPr>
            <w:tcW w:w="312" w:type="dxa"/>
            <w:vAlign w:val="bottom"/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Firma:</w:t>
            </w:r>
          </w:p>
        </w:tc>
      </w:tr>
      <w:tr w:rsidR="009B057D" w:rsidRPr="00633E01" w:rsidTr="00581586">
        <w:trPr>
          <w:trHeight w:val="769"/>
        </w:trPr>
        <w:tc>
          <w:tcPr>
            <w:tcW w:w="6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</w:tr>
      <w:tr w:rsidR="009B057D" w:rsidRPr="00633E01" w:rsidTr="00581586">
        <w:trPr>
          <w:trHeight w:val="478"/>
        </w:trPr>
        <w:tc>
          <w:tcPr>
            <w:tcW w:w="66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Nombre Completo/Cargo:</w:t>
            </w:r>
          </w:p>
        </w:tc>
        <w:tc>
          <w:tcPr>
            <w:tcW w:w="312" w:type="dxa"/>
            <w:vAlign w:val="bottom"/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  <w:r w:rsidRPr="00633E01">
              <w:rPr>
                <w:rFonts w:cs="Calibri"/>
                <w:sz w:val="20"/>
                <w:szCs w:val="20"/>
              </w:rPr>
              <w:t>Firma:</w:t>
            </w:r>
          </w:p>
        </w:tc>
      </w:tr>
      <w:tr w:rsidR="009B057D" w:rsidRPr="00633E01" w:rsidTr="00581586">
        <w:trPr>
          <w:trHeight w:val="771"/>
        </w:trPr>
        <w:tc>
          <w:tcPr>
            <w:tcW w:w="6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057D" w:rsidRPr="00633E01" w:rsidRDefault="009B057D" w:rsidP="00581586">
            <w:pPr>
              <w:rPr>
                <w:rFonts w:cs="Stag-Book"/>
                <w:sz w:val="20"/>
                <w:szCs w:val="20"/>
              </w:rPr>
            </w:pPr>
          </w:p>
        </w:tc>
      </w:tr>
    </w:tbl>
    <w:p w:rsidR="009B057D" w:rsidRPr="00633E01" w:rsidRDefault="009B057D" w:rsidP="009B057D">
      <w:pPr>
        <w:rPr>
          <w:rFonts w:cs="Stag-Book"/>
          <w:sz w:val="28"/>
          <w:szCs w:val="32"/>
        </w:rPr>
      </w:pPr>
    </w:p>
    <w:p w:rsidR="00712B76" w:rsidRPr="00712B76" w:rsidRDefault="00712B76" w:rsidP="00712B76">
      <w:pPr>
        <w:ind w:left="284"/>
        <w:rPr>
          <w:color w:val="F36B45"/>
          <w:sz w:val="20"/>
        </w:rPr>
      </w:pPr>
      <w:bookmarkStart w:id="0" w:name="_GoBack"/>
      <w:bookmarkEnd w:id="0"/>
    </w:p>
    <w:sectPr w:rsidR="00712B76" w:rsidRPr="00712B76" w:rsidSect="00712B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50" w:rsidRDefault="000D6150" w:rsidP="00712B76">
      <w:pPr>
        <w:spacing w:after="0" w:line="240" w:lineRule="auto"/>
      </w:pPr>
      <w:r>
        <w:separator/>
      </w:r>
    </w:p>
  </w:endnote>
  <w:endnote w:type="continuationSeparator" w:id="0">
    <w:p w:rsidR="000D6150" w:rsidRDefault="000D6150" w:rsidP="007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g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g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50" w:rsidRDefault="000D6150" w:rsidP="00712B76">
      <w:pPr>
        <w:spacing w:after="0" w:line="240" w:lineRule="auto"/>
      </w:pPr>
      <w:r>
        <w:separator/>
      </w:r>
    </w:p>
  </w:footnote>
  <w:footnote w:type="continuationSeparator" w:id="0">
    <w:p w:rsidR="000D6150" w:rsidRDefault="000D6150" w:rsidP="0071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76" w:rsidRPr="00790721" w:rsidRDefault="00712B76" w:rsidP="00712B76">
    <w:pPr>
      <w:autoSpaceDE w:val="0"/>
      <w:autoSpaceDN w:val="0"/>
      <w:adjustRightInd w:val="0"/>
      <w:spacing w:after="0" w:line="240" w:lineRule="auto"/>
      <w:rPr>
        <w:rFonts w:cs="Stag-Book"/>
        <w:color w:val="A6A6A6" w:themeColor="background1" w:themeShade="A6"/>
        <w:sz w:val="18"/>
        <w:szCs w:val="18"/>
      </w:rPr>
    </w:pPr>
    <w:r w:rsidRPr="00790721">
      <w:rPr>
        <w:rFonts w:cs="Stag-Book"/>
        <w:color w:val="A6A6A6" w:themeColor="background1" w:themeShade="A6"/>
        <w:sz w:val="18"/>
        <w:szCs w:val="18"/>
      </w:rPr>
      <w:t>Evaluación del Desempeño en Cargos Directivos de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Unidades de Gestión Educativa Local y Direcciones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Regionales de Educación en el Marco de la Carrera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Pública Magisterial de la Ley de Reforma Magisterial</w:t>
    </w:r>
  </w:p>
  <w:p w:rsidR="00712B76" w:rsidRDefault="00712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F34B0"/>
    <w:multiLevelType w:val="hybridMultilevel"/>
    <w:tmpl w:val="1CAAFE6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4310"/>
    <w:multiLevelType w:val="hybridMultilevel"/>
    <w:tmpl w:val="06600A7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76"/>
    <w:rsid w:val="000D6150"/>
    <w:rsid w:val="001B7D12"/>
    <w:rsid w:val="004716DF"/>
    <w:rsid w:val="00712B76"/>
    <w:rsid w:val="009B057D"/>
    <w:rsid w:val="00AC511A"/>
    <w:rsid w:val="00C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1480F-5B22-4A5C-8211-3036CCB5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B76"/>
  </w:style>
  <w:style w:type="paragraph" w:styleId="Piedepgina">
    <w:name w:val="footer"/>
    <w:basedOn w:val="Normal"/>
    <w:link w:val="PiedepginaCar"/>
    <w:uiPriority w:val="99"/>
    <w:unhideWhenUsed/>
    <w:rsid w:val="0071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B76"/>
  </w:style>
  <w:style w:type="table" w:styleId="Tablaconcuadrcula">
    <w:name w:val="Table Grid"/>
    <w:basedOn w:val="Tablanormal"/>
    <w:uiPriority w:val="39"/>
    <w:rsid w:val="0071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VENTURINI CAMARENA</dc:creator>
  <cp:keywords/>
  <dc:description/>
  <cp:lastModifiedBy>CARLOS MIGUEL VENTURINI CAMARENA</cp:lastModifiedBy>
  <cp:revision>2</cp:revision>
  <dcterms:created xsi:type="dcterms:W3CDTF">2018-01-16T20:22:00Z</dcterms:created>
  <dcterms:modified xsi:type="dcterms:W3CDTF">2018-01-17T16:02:00Z</dcterms:modified>
</cp:coreProperties>
</file>